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C0A2B"/>
        </w:rPr>
        <w:t>Sumaryczny raport z testów</w:t>
      </w:r>
    </w:p>
    <w:p>
      <w:r>
        <w:rPr>
          <w:i/>
        </w:rPr>
        <w:t>Szablon Quality Island, październik 2026. Struktura zgodna z sekcją 5.3.2 sylabusa ISTQB Certyfikowany Tester Poziom Podstawowy v4.0.1. Tekst kursywą zastąpcie własnymi danymi i usuńcie.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Pole</w:t>
            </w:r>
          </w:p>
        </w:tc>
        <w:tc>
          <w:tcPr>
            <w:tcW w:type="dxa" w:w="4320"/>
          </w:tcPr>
          <w:p>
            <w:r>
              <w:t>Wartość</w:t>
            </w:r>
          </w:p>
        </w:tc>
      </w:tr>
      <w:tr>
        <w:tc>
          <w:tcPr>
            <w:tcW w:type="dxa" w:w="4320"/>
          </w:tcPr>
          <w:p>
            <w:r>
              <w:t>Projekt / produkt</w:t>
            </w:r>
          </w:p>
        </w:tc>
        <w:tc>
          <w:tcPr>
            <w:tcW w:type="dxa" w:w="4320"/>
          </w:tcPr>
          <w:p>
            <w:r>
              <w:t>nazwa i wersja testowanego wydania</w:t>
            </w:r>
          </w:p>
        </w:tc>
      </w:tr>
      <w:tr>
        <w:tc>
          <w:tcPr>
            <w:tcW w:type="dxa" w:w="4320"/>
          </w:tcPr>
          <w:p>
            <w:r>
              <w:t>Zakres raportu</w:t>
            </w:r>
          </w:p>
        </w:tc>
        <w:tc>
          <w:tcPr>
            <w:tcW w:type="dxa" w:w="4320"/>
          </w:tcPr>
          <w:p>
            <w:r>
              <w:t>poziom testów, cykl, iteracja albo wydanie</w:t>
            </w:r>
          </w:p>
        </w:tc>
      </w:tr>
      <w:tr>
        <w:tc>
          <w:tcPr>
            <w:tcW w:type="dxa" w:w="4320"/>
          </w:tcPr>
          <w:p>
            <w:r>
              <w:t>Okres testowania</w:t>
            </w:r>
          </w:p>
        </w:tc>
        <w:tc>
          <w:tcPr>
            <w:tcW w:type="dxa" w:w="4320"/>
          </w:tcPr>
          <w:p>
            <w:r>
              <w:t>od DD.MM.RRRR do DD.MM.RRRR</w:t>
            </w:r>
          </w:p>
        </w:tc>
      </w:tr>
      <w:tr>
        <w:tc>
          <w:tcPr>
            <w:tcW w:type="dxa" w:w="4320"/>
          </w:tcPr>
          <w:p>
            <w:r>
              <w:t>Autor i data</w:t>
            </w:r>
          </w:p>
        </w:tc>
        <w:tc>
          <w:tcPr>
            <w:tcW w:type="dxa" w:w="4320"/>
          </w:tcPr>
          <w:p>
            <w:r>
              <w:t>imię, nazwisko, rola; data raportu</w:t>
            </w:r>
          </w:p>
        </w:tc>
      </w:tr>
      <w:tr>
        <w:tc>
          <w:tcPr>
            <w:tcW w:type="dxa" w:w="4320"/>
          </w:tcPr>
          <w:p>
            <w:r>
              <w:t>Odbiorcy</w:t>
            </w:r>
          </w:p>
        </w:tc>
        <w:tc>
          <w:tcPr>
            <w:tcW w:type="dxa" w:w="4320"/>
          </w:tcPr>
          <w:p>
            <w:r>
              <w:t>np. Product Owner, kierownik projektu, sponsor, zespół wytwórczy</w:t>
            </w:r>
          </w:p>
        </w:tc>
      </w:tr>
      <w:tr>
        <w:tc>
          <w:tcPr>
            <w:tcW w:type="dxa" w:w="4320"/>
          </w:tcPr>
          <w:p>
            <w:r>
              <w:t>Powiązane dokumenty</w:t>
            </w:r>
          </w:p>
        </w:tc>
        <w:tc>
          <w:tcPr>
            <w:tcW w:type="dxa" w:w="4320"/>
          </w:tcPr>
          <w:p>
            <w:r>
              <w:t>plan testów (wersja), raporty o postępie testów, rejestr defektów</w:t>
            </w:r>
          </w:p>
        </w:tc>
      </w:tr>
    </w:tbl>
    <w:p/>
    <w:p>
      <w:pPr>
        <w:pStyle w:val="Heading1"/>
      </w:pPr>
      <w:r>
        <w:rPr>
          <w:color w:val="0C0A2B"/>
        </w:rPr>
        <w:t>1. Podsumowanie dla decydenta (maks. 5 zdań)</w:t>
      </w:r>
    </w:p>
    <w:p>
      <w:r>
        <w:rPr>
          <w:i/>
        </w:rPr>
        <w:t>Rekomendacja: WYDANIE / WYDANIE WARUNKOWE / BRAK ZGODY NA WYDANIE.</w:t>
      </w:r>
    </w:p>
    <w:p>
      <w:r>
        <w:rPr>
          <w:i/>
        </w:rPr>
        <w:t>Najważniejszy powód rekomendacji, stan kryteriów wyjścia, liczba otwartych defektów krytycznych i wysokich, największe ryzyko rezydualne i warunek wydania, jeśli jest.</w:t>
      </w:r>
    </w:p>
    <w:p>
      <w:pPr>
        <w:pStyle w:val="Heading1"/>
      </w:pPr>
      <w:r>
        <w:rPr>
          <w:color w:val="0C0A2B"/>
        </w:rPr>
        <w:t>2. Ocena jakości testowania i produktu względem planu testów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Kryterium wyjścia z planu testów</w:t>
            </w:r>
          </w:p>
        </w:tc>
        <w:tc>
          <w:tcPr>
            <w:tcW w:type="dxa" w:w="2160"/>
          </w:tcPr>
          <w:p>
            <w:r>
              <w:t>Cel</w:t>
            </w:r>
          </w:p>
        </w:tc>
        <w:tc>
          <w:tcPr>
            <w:tcW w:type="dxa" w:w="2160"/>
          </w:tcPr>
          <w:p>
            <w:r>
              <w:t>Wynik</w:t>
            </w:r>
          </w:p>
        </w:tc>
        <w:tc>
          <w:tcPr>
            <w:tcW w:type="dxa" w:w="2160"/>
          </w:tcPr>
          <w:p>
            <w:r>
              <w:t>Spełnione (tak / nie)</w:t>
            </w:r>
          </w:p>
        </w:tc>
      </w:tr>
      <w:tr>
        <w:tc>
          <w:tcPr>
            <w:tcW w:type="dxa" w:w="2160"/>
          </w:tcPr>
          <w:p>
            <w:r>
              <w:t>wszystkie przypadki testowe o priorytecie krytycznym wykonane</w:t>
            </w:r>
          </w:p>
        </w:tc>
        <w:tc>
          <w:tcPr>
            <w:tcW w:type="dxa" w:w="2160"/>
          </w:tcPr>
          <w:p>
            <w:r>
              <w:t>100%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brak otwartych defektów krytycznych</w:t>
            </w:r>
          </w:p>
        </w:tc>
        <w:tc>
          <w:tcPr>
            <w:tcW w:type="dxa" w:w="2160"/>
          </w:tcPr>
          <w:p>
            <w:r>
              <w:t>0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pokrycie wymagań testami</w:t>
            </w:r>
          </w:p>
        </w:tc>
        <w:tc>
          <w:tcPr>
            <w:tcW w:type="dxa" w:w="2160"/>
          </w:tcPr>
          <w:p>
            <w:r>
              <w:t>≥ 95%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odsetek testów zaliczonych</w:t>
            </w:r>
          </w:p>
        </w:tc>
        <w:tc>
          <w:tcPr>
            <w:tcW w:type="dxa" w:w="2160"/>
          </w:tcPr>
          <w:p>
            <w:r>
              <w:t>≥ 95%</w:t>
            </w:r>
          </w:p>
        </w:tc>
        <w:tc>
          <w:tcPr>
            <w:tcW w:type="dxa" w:w="2160"/>
          </w:tcPr>
          <w:p>
            <w:r/>
          </w:p>
        </w:tc>
        <w:tc>
          <w:tcPr>
            <w:tcW w:type="dxa" w:w="2160"/>
          </w:tcPr>
          <w:p>
            <w:r/>
          </w:p>
        </w:tc>
      </w:tr>
    </w:tbl>
    <w:p/>
    <w:p>
      <w:pPr>
        <w:pStyle w:val="Heading1"/>
      </w:pPr>
      <w:r>
        <w:rPr>
          <w:color w:val="0C0A2B"/>
        </w:rPr>
        <w:t>3. Odstępstwa od planu testów</w:t>
      </w:r>
    </w:p>
    <w:p>
      <w:r>
        <w:rPr>
          <w:i/>
        </w:rPr>
        <w:t>Różnice w harmonogramie, czasie trwania i nakładzie pracy; zakres, którego nie przetestowano, i powód.</w:t>
      </w:r>
    </w:p>
    <w:p>
      <w:pPr>
        <w:pStyle w:val="Heading1"/>
      </w:pPr>
      <w:r>
        <w:rPr>
          <w:color w:val="0C0A2B"/>
        </w:rPr>
        <w:t>4. Utrudnienia w testowaniu i sposoby ich obejścia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Utrudnienie</w:t>
            </w:r>
          </w:p>
        </w:tc>
        <w:tc>
          <w:tcPr>
            <w:tcW w:type="dxa" w:w="2880"/>
          </w:tcPr>
          <w:p>
            <w:r>
              <w:t>Wpływ na testy</w:t>
            </w:r>
          </w:p>
        </w:tc>
        <w:tc>
          <w:tcPr>
            <w:tcW w:type="dxa" w:w="2880"/>
          </w:tcPr>
          <w:p>
            <w:r>
              <w:t>Obejście / decyzja</w:t>
            </w:r>
          </w:p>
        </w:tc>
      </w:tr>
      <w:tr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rPr>
          <w:color w:val="0C0A2B"/>
        </w:rPr>
        <w:t>5. Metryki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Kategoria (ISTQB 5.3.1)</w:t>
            </w:r>
          </w:p>
        </w:tc>
        <w:tc>
          <w:tcPr>
            <w:tcW w:type="dxa" w:w="2880"/>
          </w:tcPr>
          <w:p>
            <w:r>
              <w:t>Metryka</w:t>
            </w:r>
          </w:p>
        </w:tc>
        <w:tc>
          <w:tcPr>
            <w:tcW w:type="dxa" w:w="2880"/>
          </w:tcPr>
          <w:p>
            <w:r>
              <w:t>Wartość</w:t>
            </w:r>
          </w:p>
        </w:tc>
      </w:tr>
      <w:tr>
        <w:tc>
          <w:tcPr>
            <w:tcW w:type="dxa" w:w="2880"/>
          </w:tcPr>
          <w:p>
            <w:r>
              <w:t>Postęp testów</w:t>
            </w:r>
          </w:p>
        </w:tc>
        <w:tc>
          <w:tcPr>
            <w:tcW w:type="dxa" w:w="2880"/>
          </w:tcPr>
          <w:p>
            <w:r>
              <w:t>przypadki zaplanowane / wykonane / zaliczone / niezaliczone / zablokowane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Defekty</w:t>
            </w:r>
          </w:p>
        </w:tc>
        <w:tc>
          <w:tcPr>
            <w:tcW w:type="dxa" w:w="2880"/>
          </w:tcPr>
          <w:p>
            <w:r>
              <w:t>znalezione i usunięte według priorytetu, odsetek wykrytych defektów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Pokrycie</w:t>
            </w:r>
          </w:p>
        </w:tc>
        <w:tc>
          <w:tcPr>
            <w:tcW w:type="dxa" w:w="2880"/>
          </w:tcPr>
          <w:p>
            <w:r>
              <w:t>pokrycie wymagań, pokrycie kodu (jeśli mierzone)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Jakość produktu</w:t>
            </w:r>
          </w:p>
        </w:tc>
        <w:tc>
          <w:tcPr>
            <w:tcW w:type="dxa" w:w="2880"/>
          </w:tcPr>
          <w:p>
            <w:r>
              <w:t>np. czas odpowiedzi p95, dostępność</w:t>
            </w:r>
          </w:p>
        </w:tc>
        <w:tc>
          <w:tcPr>
            <w:tcW w:type="dxa" w:w="2880"/>
          </w:tcPr>
          <w:p>
            <w:r/>
          </w:p>
        </w:tc>
      </w:tr>
      <w:tr>
        <w:tc>
          <w:tcPr>
            <w:tcW w:type="dxa" w:w="2880"/>
          </w:tcPr>
          <w:p>
            <w:r>
              <w:t>Ryzyko</w:t>
            </w:r>
          </w:p>
        </w:tc>
        <w:tc>
          <w:tcPr>
            <w:tcW w:type="dxa" w:w="2880"/>
          </w:tcPr>
          <w:p>
            <w:r>
              <w:t>poziom ryzyka rezydualnego</w:t>
            </w:r>
          </w:p>
        </w:tc>
        <w:tc>
          <w:tcPr>
            <w:tcW w:type="dxa" w:w="2880"/>
          </w:tcPr>
          <w:p>
            <w:r/>
          </w:p>
        </w:tc>
      </w:tr>
    </w:tbl>
    <w:p/>
    <w:p>
      <w:pPr>
        <w:pStyle w:val="Heading1"/>
      </w:pPr>
      <w:r>
        <w:rPr>
          <w:color w:val="0C0A2B"/>
        </w:rPr>
        <w:t>6. Niezłagodzone ryzyka i nieusunięte defekty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ID</w:t>
            </w:r>
          </w:p>
        </w:tc>
        <w:tc>
          <w:tcPr>
            <w:tcW w:type="dxa" w:w="1728"/>
          </w:tcPr>
          <w:p>
            <w:r>
              <w:t>Opis</w:t>
            </w:r>
          </w:p>
        </w:tc>
        <w:tc>
          <w:tcPr>
            <w:tcW w:type="dxa" w:w="1728"/>
          </w:tcPr>
          <w:p>
            <w:r>
              <w:t>Priorytet</w:t>
            </w:r>
          </w:p>
        </w:tc>
        <w:tc>
          <w:tcPr>
            <w:tcW w:type="dxa" w:w="1728"/>
          </w:tcPr>
          <w:p>
            <w:r>
              <w:t>Decyzja (akceptacja / poprawka w wersji)</w:t>
            </w:r>
          </w:p>
        </w:tc>
        <w:tc>
          <w:tcPr>
            <w:tcW w:type="dxa" w:w="1728"/>
          </w:tcPr>
          <w:p>
            <w:r>
              <w:t>Kto zaakceptował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/>
    <w:p>
      <w:pPr>
        <w:pStyle w:val="Heading1"/>
      </w:pPr>
      <w:r>
        <w:rPr>
          <w:color w:val="0C0A2B"/>
        </w:rPr>
        <w:t>7. Zdobyte doświadczenia (lessons learned)</w:t>
      </w:r>
    </w:p>
    <w:p>
      <w:r>
        <w:rPr>
          <w:i/>
        </w:rPr>
        <w:t>Co zmienić w kolejnym cyklu testów: proces, środowisko, dane testowe, automatyzacja.</w:t>
      </w:r>
    </w:p>
    <w:p>
      <w:pPr>
        <w:pStyle w:val="Heading1"/>
      </w:pPr>
      <w:r>
        <w:rPr>
          <w:color w:val="0C0A2B"/>
        </w:rPr>
        <w:t>8. Załączniki</w:t>
      </w:r>
    </w:p>
    <w:p>
      <w:r>
        <w:rPr>
          <w:i/>
        </w:rPr>
        <w:t>Link do raportu z narzędzia (np. Allure, raport HTML Playwright), eksport rejestru defektów, raporty o postępie testów.</w:t>
      </w:r>
    </w:p>
    <w:p>
      <w:r>
        <w:rPr>
          <w:i/>
        </w:rPr>
        <w:t>Quality Island, qualityisland.pl, kontakt@qualityisland.pl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